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2DEF75" w14:textId="77777777" w:rsidR="00E02D97" w:rsidRPr="00E02D97" w:rsidRDefault="00E02D97" w:rsidP="00E02D97">
      <w:pPr>
        <w:pStyle w:val="isselectedend"/>
        <w:spacing w:line="276" w:lineRule="auto"/>
        <w:jc w:val="center"/>
        <w:rPr>
          <w:rFonts w:ascii="Verdana" w:hAnsi="Verdana"/>
          <w:sz w:val="22"/>
          <w:szCs w:val="22"/>
        </w:rPr>
      </w:pPr>
      <w:r w:rsidRPr="00E02D97">
        <w:rPr>
          <w:rStyle w:val="Fuerte"/>
          <w:rFonts w:ascii="Verdana" w:hAnsi="Verdana"/>
          <w:sz w:val="22"/>
          <w:szCs w:val="22"/>
        </w:rPr>
        <w:t>MEMORANDO</w:t>
      </w:r>
    </w:p>
    <w:p w14:paraId="7D6146E5" w14:textId="77777777" w:rsidR="00E02D97" w:rsidRDefault="00E02D97" w:rsidP="00E02D97">
      <w:pPr>
        <w:pStyle w:val="isselectedend"/>
        <w:spacing w:line="276" w:lineRule="auto"/>
        <w:jc w:val="both"/>
        <w:rPr>
          <w:rStyle w:val="Fuerte"/>
          <w:rFonts w:ascii="Verdana" w:hAnsi="Verdana"/>
          <w:sz w:val="22"/>
          <w:szCs w:val="22"/>
        </w:rPr>
      </w:pPr>
    </w:p>
    <w:p w14:paraId="644821EF" w14:textId="3C72061C"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PARA:</w:t>
      </w:r>
      <w:r w:rsidRPr="00E02D97">
        <w:rPr>
          <w:rFonts w:ascii="Verdana" w:hAnsi="Verdana"/>
          <w:sz w:val="22"/>
          <w:szCs w:val="22"/>
        </w:rPr>
        <w:t xml:space="preserve"> Antonio José Ballestas </w:t>
      </w:r>
      <w:proofErr w:type="spellStart"/>
      <w:r w:rsidRPr="00E02D97">
        <w:rPr>
          <w:rFonts w:ascii="Verdana" w:hAnsi="Verdana"/>
          <w:sz w:val="22"/>
          <w:szCs w:val="22"/>
        </w:rPr>
        <w:t>Ballestas</w:t>
      </w:r>
      <w:proofErr w:type="spellEnd"/>
      <w:r w:rsidRPr="00E02D97">
        <w:rPr>
          <w:rFonts w:ascii="Verdana" w:hAnsi="Verdana"/>
          <w:sz w:val="22"/>
          <w:szCs w:val="22"/>
        </w:rPr>
        <w:t xml:space="preserve">.  </w:t>
      </w:r>
      <w:proofErr w:type="spellStart"/>
      <w:r w:rsidRPr="00E02D97">
        <w:rPr>
          <w:rFonts w:ascii="Verdana" w:hAnsi="Verdana"/>
          <w:sz w:val="22"/>
          <w:szCs w:val="22"/>
        </w:rPr>
        <w:t>Director</w:t>
      </w:r>
      <w:proofErr w:type="spellEnd"/>
      <w:r w:rsidRPr="00E02D97">
        <w:rPr>
          <w:rFonts w:ascii="Verdana" w:hAnsi="Verdana"/>
          <w:sz w:val="22"/>
          <w:szCs w:val="22"/>
        </w:rPr>
        <w:t xml:space="preserve"> de Asuntos para Comunidades Negras, Afrocolombianas, Raizales y Palenqueras</w:t>
      </w:r>
    </w:p>
    <w:p w14:paraId="3E4AC423" w14:textId="12FD1620" w:rsidR="00E02D97" w:rsidRPr="00E02D97" w:rsidRDefault="00E02D97" w:rsidP="00E02D97">
      <w:pPr>
        <w:pStyle w:val="isselectedend"/>
        <w:spacing w:line="276" w:lineRule="auto"/>
        <w:rPr>
          <w:rFonts w:ascii="Verdana" w:hAnsi="Verdana"/>
          <w:sz w:val="22"/>
          <w:szCs w:val="22"/>
        </w:rPr>
      </w:pPr>
      <w:r w:rsidRPr="00E02D97">
        <w:rPr>
          <w:rStyle w:val="Fuerte"/>
          <w:rFonts w:ascii="Verdana" w:hAnsi="Verdana"/>
          <w:sz w:val="22"/>
          <w:szCs w:val="22"/>
        </w:rPr>
        <w:t>DE:</w:t>
      </w:r>
      <w:r w:rsidRPr="00E02D97">
        <w:rPr>
          <w:rFonts w:ascii="Verdana" w:hAnsi="Verdana"/>
          <w:sz w:val="22"/>
          <w:szCs w:val="22"/>
        </w:rPr>
        <w:t xml:space="preserve"> Nancy Stella Patiño León</w:t>
      </w:r>
      <w:r w:rsidRPr="00E02D97">
        <w:rPr>
          <w:rFonts w:ascii="Verdana" w:hAnsi="Verdana"/>
          <w:sz w:val="22"/>
          <w:szCs w:val="22"/>
        </w:rPr>
        <w:t xml:space="preserve">. </w:t>
      </w:r>
      <w:r w:rsidRPr="00E02D97">
        <w:rPr>
          <w:rFonts w:ascii="Verdana" w:hAnsi="Verdana"/>
          <w:sz w:val="22"/>
          <w:szCs w:val="22"/>
        </w:rPr>
        <w:t>Secretaria General</w:t>
      </w:r>
    </w:p>
    <w:p w14:paraId="55534549" w14:textId="77777777"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ASUNTO:</w:t>
      </w:r>
      <w:r w:rsidRPr="00E02D97">
        <w:rPr>
          <w:rFonts w:ascii="Verdana" w:hAnsi="Verdana"/>
          <w:sz w:val="22"/>
          <w:szCs w:val="22"/>
        </w:rPr>
        <w:t xml:space="preserve"> Requerimiento para el cumplimiento de las órdenes judiciales impartidas dentro de la acción de tutela e incidente de desacato relacionado con el Consejo Comunitario Mayor de </w:t>
      </w:r>
      <w:proofErr w:type="spellStart"/>
      <w:r w:rsidRPr="00E02D97">
        <w:rPr>
          <w:rFonts w:ascii="Verdana" w:hAnsi="Verdana"/>
          <w:sz w:val="22"/>
          <w:szCs w:val="22"/>
        </w:rPr>
        <w:t>Nóvita</w:t>
      </w:r>
      <w:proofErr w:type="spellEnd"/>
      <w:r w:rsidRPr="00E02D97">
        <w:rPr>
          <w:rFonts w:ascii="Verdana" w:hAnsi="Verdana"/>
          <w:sz w:val="22"/>
          <w:szCs w:val="22"/>
        </w:rPr>
        <w:t xml:space="preserve"> – COCOMAN.</w:t>
      </w:r>
    </w:p>
    <w:p w14:paraId="5F506065" w14:textId="77777777" w:rsidR="00E02D97" w:rsidRDefault="00E02D97" w:rsidP="00E02D97">
      <w:pPr>
        <w:pStyle w:val="isselectedend"/>
        <w:spacing w:line="276" w:lineRule="auto"/>
        <w:jc w:val="both"/>
        <w:rPr>
          <w:rFonts w:ascii="Verdana" w:hAnsi="Verdana"/>
          <w:sz w:val="22"/>
          <w:szCs w:val="22"/>
        </w:rPr>
      </w:pPr>
    </w:p>
    <w:p w14:paraId="7695E1CD" w14:textId="28E11E33"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 xml:space="preserve">En ejercicio de las funciones de coordinación administrativa, seguimiento institucional y apoyo a la Alta Dirección del Ministerio del Interior, y teniendo en consideración las actuaciones judiciales que actualmente se adelantan dentro de la acción de tutela y del incidente de desacato promovido con ocasión del caso del Consejo Comunitario Mayor de </w:t>
      </w:r>
      <w:proofErr w:type="spellStart"/>
      <w:r w:rsidRPr="00E02D97">
        <w:rPr>
          <w:rFonts w:ascii="Verdana" w:hAnsi="Verdana"/>
          <w:sz w:val="22"/>
          <w:szCs w:val="22"/>
        </w:rPr>
        <w:t>Nóvita</w:t>
      </w:r>
      <w:proofErr w:type="spellEnd"/>
      <w:r w:rsidRPr="00E02D97">
        <w:rPr>
          <w:rFonts w:ascii="Verdana" w:hAnsi="Verdana"/>
          <w:sz w:val="22"/>
          <w:szCs w:val="22"/>
        </w:rPr>
        <w:t xml:space="preserve"> – COCOMAN, me permito formular el presente requerimiento.</w:t>
      </w:r>
    </w:p>
    <w:p w14:paraId="6F045EF8"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 xml:space="preserve">Como es de su conocimiento, mediante sentencia de segunda instancia proferida el 29 de mayo de 2026, el Juzgado Primero Penal del Circuito de Istmina impartió diversas órdenes dirigidas al Ministerio del Interior – Dirección de Asuntos para Comunidades Negras, Afrocolombianas, Raizales y Palenqueras, relacionadas con la implementación de medidas de acompañamiento institucional, la actualización del Registro Público de Instituciones Representativas y la remisión del expediente administrativo a la Comisión de Sabios del Consejo Comunitario Mayor de </w:t>
      </w:r>
      <w:proofErr w:type="spellStart"/>
      <w:r w:rsidRPr="00E02D97">
        <w:rPr>
          <w:rFonts w:ascii="Verdana" w:hAnsi="Verdana"/>
          <w:sz w:val="22"/>
          <w:szCs w:val="22"/>
        </w:rPr>
        <w:t>Nóvita</w:t>
      </w:r>
      <w:proofErr w:type="spellEnd"/>
      <w:r w:rsidRPr="00E02D97">
        <w:rPr>
          <w:rFonts w:ascii="Verdana" w:hAnsi="Verdana"/>
          <w:sz w:val="22"/>
          <w:szCs w:val="22"/>
        </w:rPr>
        <w:t xml:space="preserve"> – COCOMAN.</w:t>
      </w:r>
    </w:p>
    <w:p w14:paraId="15BC46B5"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 xml:space="preserve">Posteriormente, mediante auto del 12 de junio de 2026, el Juzgado Promiscuo Municipal de Condoto requirió expresamente a esa Dirección para dar cumplimiento a las órdenes impartidas por el juez constitucional de segunda instancia y, mediante providencia del 22 de junio de 2026, dispuso la vinculación al trámite incidental del señor Ministro del Interior, del señor Viceministro para </w:t>
      </w:r>
      <w:r w:rsidRPr="00E02D97">
        <w:rPr>
          <w:rFonts w:ascii="Verdana" w:hAnsi="Verdana"/>
          <w:sz w:val="22"/>
          <w:szCs w:val="22"/>
        </w:rPr>
        <w:lastRenderedPageBreak/>
        <w:t>el Diálogo Social, la Igualdad y los Derechos Humanos y de esta Secretaría General, requiriendo informar de manera detallada las medidas adoptadas para garantizar el cumplimiento efectivo de las decisiones judiciales, así como las razones que expliquen un eventual incumplimiento y los soportes documentales correspondientes.</w:t>
      </w:r>
    </w:p>
    <w:p w14:paraId="72F155E8"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 xml:space="preserve">De igual manera, esta Secretaría General conoció la comunicación suscrita por el doctor </w:t>
      </w:r>
      <w:r w:rsidRPr="00E02D97">
        <w:rPr>
          <w:rStyle w:val="Fuerte"/>
          <w:rFonts w:ascii="Verdana" w:hAnsi="Verdana"/>
          <w:sz w:val="22"/>
          <w:szCs w:val="22"/>
        </w:rPr>
        <w:t>Cristian José Leone Polo</w:t>
      </w:r>
      <w:r w:rsidRPr="00E02D97">
        <w:rPr>
          <w:rFonts w:ascii="Verdana" w:hAnsi="Verdana"/>
          <w:sz w:val="22"/>
          <w:szCs w:val="22"/>
        </w:rPr>
        <w:t xml:space="preserve">, abogado del Grupo de Soporte Normativo encargado de la defensa judicial del Ministerio dentro de la referida acción constitucional, mediante la cual informó expresamente que, pese a las órdenes impartidas por el juez constitucional, </w:t>
      </w:r>
      <w:r w:rsidRPr="00E02D97">
        <w:rPr>
          <w:rStyle w:val="Fuerte"/>
          <w:rFonts w:ascii="Verdana" w:hAnsi="Verdana"/>
          <w:sz w:val="22"/>
          <w:szCs w:val="22"/>
        </w:rPr>
        <w:t>a la fecha no había recibido las instrucciones correspondientes para proceder al cumplimiento de la sentencia de tutela de segunda instancia</w:t>
      </w:r>
      <w:r w:rsidRPr="00E02D97">
        <w:rPr>
          <w:rFonts w:ascii="Verdana" w:hAnsi="Verdana"/>
          <w:sz w:val="22"/>
          <w:szCs w:val="22"/>
        </w:rPr>
        <w:t>, circunstancia que reviste especial relevancia para la adecuada defensa judicial de la Entidad y para la atención de los requerimientos formulados por la autoridad judicial.</w:t>
      </w:r>
    </w:p>
    <w:p w14:paraId="2F79A26A"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En este contexto, resulta pertinente recordar que el artículo 27 del Decreto 2591 de 1991 dispone que el juez de tutela mantendrá la competencia hasta tanto se encuentre plenamente restablecido el derecho o eliminadas las causas de la amenaza y, en caso de incumplimiento, podrá requerir al superior del responsable para que adopte todas las medidas necesarias para lograr la ejecución de la orden impartida y promueva, cuando hubiere lugar, las actuaciones disciplinarias correspondientes. Esta disposición concreta el deber constitucional de colaboración armónica entre las autoridades públicas y exige que los superiores funcionales desplieguen todas las actuaciones razonablemente necesarias para asegurar el cumplimiento efectivo de las decisiones judiciales.</w:t>
      </w:r>
    </w:p>
    <w:p w14:paraId="68587D05"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 xml:space="preserve">En cumplimiento de dicho mandato legal, y considerando la vinculación del señor Ministro del Interior, del señor Viceministro para el Diálogo Social, la Igualdad y los Derechos Humanos y de esta Secretaría General al presente incidente de desacato, resulta indispensable impartir el presente requerimiento formal a esa Dirección, con el propósito de verificar el estado real de cumplimiento de las órdenes judiciales, promover la adopción inmediata de las medidas administrativas que resulten procedentes y garantizar que el Ministerio del Interior pueda acreditar ante la autoridad judicial las actuaciones efectivamente </w:t>
      </w:r>
      <w:r w:rsidRPr="00E02D97">
        <w:rPr>
          <w:rFonts w:ascii="Verdana" w:hAnsi="Verdana"/>
          <w:sz w:val="22"/>
          <w:szCs w:val="22"/>
        </w:rPr>
        <w:lastRenderedPageBreak/>
        <w:t>desplegadas para lograr el acatamiento integral de las providencias constitucionales.</w:t>
      </w:r>
    </w:p>
    <w:p w14:paraId="25C111B8"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 xml:space="preserve">En consecuencia, esta Secretaría General </w:t>
      </w:r>
      <w:r w:rsidRPr="00E02D97">
        <w:rPr>
          <w:rStyle w:val="Fuerte"/>
          <w:rFonts w:ascii="Verdana" w:hAnsi="Verdana"/>
          <w:sz w:val="22"/>
          <w:szCs w:val="22"/>
        </w:rPr>
        <w:t>REQUIERE</w:t>
      </w:r>
      <w:r w:rsidRPr="00E02D97">
        <w:rPr>
          <w:rFonts w:ascii="Verdana" w:hAnsi="Verdana"/>
          <w:sz w:val="22"/>
          <w:szCs w:val="22"/>
        </w:rPr>
        <w:t xml:space="preserve"> a esa Dirección para que, con carácter prioritario y sin dilación alguna:</w:t>
      </w:r>
    </w:p>
    <w:p w14:paraId="7AD17EB5" w14:textId="77777777"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PRIMERO.</w:t>
      </w:r>
      <w:r w:rsidRPr="00E02D97">
        <w:rPr>
          <w:rFonts w:ascii="Verdana" w:hAnsi="Verdana"/>
          <w:sz w:val="22"/>
          <w:szCs w:val="22"/>
        </w:rPr>
        <w:t xml:space="preserve"> Informe de manera detallada el estado actual del cumplimiento de todas y cada una de las órdenes impartidas mediante la sentencia de segunda instancia del 29 de mayo de 2026 y de los requerimientos posteriores efectuados por el Juzgado Promiscuo Municipal de Condoto, indicando las actuaciones administrativas ejecutadas, las pendientes de cumplimiento, el cronograma previsto para su ejecución y los soportes documentales correspondientes.</w:t>
      </w:r>
    </w:p>
    <w:p w14:paraId="51F6CECD" w14:textId="77777777"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SEGUNDO.</w:t>
      </w:r>
      <w:r w:rsidRPr="00E02D97">
        <w:rPr>
          <w:rFonts w:ascii="Verdana" w:hAnsi="Verdana"/>
          <w:sz w:val="22"/>
          <w:szCs w:val="22"/>
        </w:rPr>
        <w:t xml:space="preserve"> En caso de persistir actuaciones pendientes, adopte de manera inmediata las medidas administrativas necesarias para garantizar el cumplimiento efectivo de las órdenes judiciales, remitiendo a esta Secretaría General un informe actualizado sobre los avances obtenidos y las evidencias documentales que acrediten las actuaciones realizadas.</w:t>
      </w:r>
    </w:p>
    <w:p w14:paraId="046881A4" w14:textId="77777777"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TERCERO.</w:t>
      </w:r>
      <w:r w:rsidRPr="00E02D97">
        <w:rPr>
          <w:rFonts w:ascii="Verdana" w:hAnsi="Verdana"/>
          <w:sz w:val="22"/>
          <w:szCs w:val="22"/>
        </w:rPr>
        <w:t xml:space="preserve"> Efectúe, con carácter urgente, un análisis jurídico integral de la sentencia de segunda instancia y de las actuaciones posteriores adelantadas por la autoridad judicial, con el propósito de determinar si las mismas presentan eventuales defectos sustantivos, procedimentales, orgánicos, fácticos, desconocimiento del precedente constitucional o cualquier otra circunstancia excepcional susceptible de ser controvertida mediante los mecanismos extraordinarios de defensa judicial previstos por el ordenamiento jurídico.</w:t>
      </w:r>
    </w:p>
    <w:p w14:paraId="38422B06" w14:textId="77777777"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CUARTO.</w:t>
      </w:r>
      <w:r w:rsidRPr="00E02D97">
        <w:rPr>
          <w:rFonts w:ascii="Verdana" w:hAnsi="Verdana"/>
          <w:sz w:val="22"/>
          <w:szCs w:val="22"/>
        </w:rPr>
        <w:t xml:space="preserve"> Sin perjuicio del deber constitucional y legal de cumplir de manera inmediata las órdenes judiciales actualmente vigentes, y únicamente en el evento de que esa Dirección, previo análisis jurídico debidamente sustentado, concluya que la sentencia de segunda instancia o las actuaciones posteriores del despacho judicial presentan un defecto sustantivo, procedimental, orgánico, fáctico, desconocimiento del precedente u otra causal excepcional que haga procedente el ejercicio de mecanismos extraordinarios de defensa judicial, deberá coordinar con la Dirección Jurídica del Ministerio la interposición inmediata del mecanismo judicial correspondiente, allegando a esta Secretaría </w:t>
      </w:r>
      <w:r w:rsidRPr="00E02D97">
        <w:rPr>
          <w:rFonts w:ascii="Verdana" w:hAnsi="Verdana"/>
          <w:sz w:val="22"/>
          <w:szCs w:val="22"/>
        </w:rPr>
        <w:lastRenderedPageBreak/>
        <w:t>General copia del concepto jurídico que sustente dicha actuación, así como de las actuaciones procesales que se promuevan.</w:t>
      </w:r>
    </w:p>
    <w:p w14:paraId="5D7952BB"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La eventual interposición de dichos mecanismos de defensa judicial no releva a la Administración del deber de acatar las providencias judiciales mientras estas conserven plenos efectos jurídicos, salvo que exista decisión judicial que disponga su suspensión, modificación o deje sin efectos la orden impartida, razón por la cual ambas actuaciones deberán adelantarse de manera coordinada y conforme a los principios de legalidad, buena fe y colaboración armónica entre las ramas del poder público.</w:t>
      </w:r>
    </w:p>
    <w:p w14:paraId="1267A9B3" w14:textId="77777777" w:rsidR="00E02D97" w:rsidRPr="00E02D97" w:rsidRDefault="00E02D97" w:rsidP="00E02D97">
      <w:pPr>
        <w:pStyle w:val="isselectedend"/>
        <w:spacing w:line="276" w:lineRule="auto"/>
        <w:jc w:val="both"/>
        <w:rPr>
          <w:rFonts w:ascii="Verdana" w:hAnsi="Verdana"/>
          <w:sz w:val="22"/>
          <w:szCs w:val="22"/>
        </w:rPr>
      </w:pPr>
      <w:r w:rsidRPr="00E02D97">
        <w:rPr>
          <w:rStyle w:val="Fuerte"/>
          <w:rFonts w:ascii="Verdana" w:hAnsi="Verdana"/>
          <w:sz w:val="22"/>
          <w:szCs w:val="22"/>
        </w:rPr>
        <w:t>QUINTO.</w:t>
      </w:r>
      <w:r w:rsidRPr="00E02D97">
        <w:rPr>
          <w:rFonts w:ascii="Verdana" w:hAnsi="Verdana"/>
          <w:sz w:val="22"/>
          <w:szCs w:val="22"/>
        </w:rPr>
        <w:t xml:space="preserve"> Coordinar permanentemente con la Dirección Jurídica del Ministerio y con el abogado encargado de la defensa judicial de la acción constitucional todas las actuaciones administrativas y judiciales relacionadas con el presente asunto, garantizando la unidad de criterio institucional, el suministro oportuno de la información requerida por los despachos judiciales y la adecuada articulación entre la defensa judicial y las actuaciones administrativas de esa Dirección.</w:t>
      </w:r>
    </w:p>
    <w:p w14:paraId="2DE602BB"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Finalmente, se solicita remitir a esta Secretaría General, dentro del término más breve posible, un informe ejecutivo acompañado de los respectivos soportes documentales, indicando las actuaciones ejecutadas, las decisiones adoptadas y las medidas previstas para asegurar el cumplimiento integral de las órdenes impartidas por la jurisdicción constitucional o, en su defecto, las acciones judiciales extraordinarias que eventualmente se promuevan, debidamente sustentadas desde el punto de vista jurídico.</w:t>
      </w:r>
    </w:p>
    <w:p w14:paraId="6C039D71" w14:textId="77777777" w:rsidR="00E02D97" w:rsidRPr="00E02D97" w:rsidRDefault="00E02D97" w:rsidP="00E02D97">
      <w:pPr>
        <w:pStyle w:val="isselectedend"/>
        <w:spacing w:line="276" w:lineRule="auto"/>
        <w:jc w:val="both"/>
        <w:rPr>
          <w:rFonts w:ascii="Verdana" w:hAnsi="Verdana"/>
          <w:sz w:val="22"/>
          <w:szCs w:val="22"/>
        </w:rPr>
      </w:pPr>
      <w:r w:rsidRPr="00E02D97">
        <w:rPr>
          <w:rFonts w:ascii="Verdana" w:hAnsi="Verdana"/>
          <w:sz w:val="22"/>
          <w:szCs w:val="22"/>
        </w:rPr>
        <w:t>El presente requerimiento se formula en ejercicio de las funciones de coordinación, seguimiento institucional y colaboración armónica con la administración de justicia, con el propósito de garantizar el cumplimiento oportuno de las decisiones judiciales, proteger los intereses institucionales del Ministerio del Interior y suministrar a las autoridades judiciales información cierta, completa y verificable sobre las actuaciones adelantadas por la Entidad.</w:t>
      </w:r>
    </w:p>
    <w:p w14:paraId="61BBEC43" w14:textId="77777777" w:rsidR="00E02D97" w:rsidRPr="00E02D97" w:rsidRDefault="00E02D97" w:rsidP="00E02D97">
      <w:pPr>
        <w:pStyle w:val="isselectedend"/>
        <w:spacing w:line="276" w:lineRule="auto"/>
        <w:rPr>
          <w:rFonts w:ascii="Verdana" w:hAnsi="Verdana"/>
          <w:sz w:val="22"/>
          <w:szCs w:val="22"/>
        </w:rPr>
      </w:pPr>
      <w:r w:rsidRPr="00E02D97">
        <w:rPr>
          <w:rFonts w:ascii="Verdana" w:hAnsi="Verdana"/>
          <w:sz w:val="22"/>
          <w:szCs w:val="22"/>
        </w:rPr>
        <w:t>Cordialmente,</w:t>
      </w:r>
    </w:p>
    <w:p w14:paraId="0FF31BB0" w14:textId="780FB389" w:rsidR="00E02D97" w:rsidRPr="00E02D97" w:rsidRDefault="00E02D97" w:rsidP="00E02D97">
      <w:pPr>
        <w:pStyle w:val="NormalWeb"/>
        <w:spacing w:line="276" w:lineRule="auto"/>
        <w:rPr>
          <w:rFonts w:ascii="Verdana" w:hAnsi="Verdana"/>
          <w:sz w:val="22"/>
          <w:szCs w:val="22"/>
        </w:rPr>
      </w:pPr>
      <w:r w:rsidRPr="00E02D97">
        <w:rPr>
          <w:rStyle w:val="Fuerte"/>
          <w:rFonts w:ascii="Verdana" w:hAnsi="Verdana"/>
          <w:sz w:val="22"/>
          <w:szCs w:val="22"/>
        </w:rPr>
        <w:lastRenderedPageBreak/>
        <w:t>NANCY STELLA PATIÑO LEÓN</w:t>
      </w:r>
      <w:r w:rsidRPr="00E02D97">
        <w:rPr>
          <w:rFonts w:ascii="Verdana" w:hAnsi="Verdana"/>
          <w:sz w:val="22"/>
          <w:szCs w:val="22"/>
        </w:rPr>
        <w:br/>
        <w:t>Secretaria General</w:t>
      </w:r>
      <w:r w:rsidRPr="00E02D97">
        <w:rPr>
          <w:rFonts w:ascii="Verdana" w:hAnsi="Verdana"/>
          <w:sz w:val="22"/>
          <w:szCs w:val="22"/>
        </w:rPr>
        <w:br/>
        <w:t>Ministerio del Interior</w:t>
      </w:r>
    </w:p>
    <w:p w14:paraId="261ABA8B" w14:textId="77777777" w:rsidR="00E02D97" w:rsidRPr="00E02D97" w:rsidRDefault="00E02D97" w:rsidP="00E02D97">
      <w:pPr>
        <w:spacing w:line="276" w:lineRule="auto"/>
        <w:rPr>
          <w:rFonts w:ascii="Verdana" w:hAnsi="Verdana"/>
          <w:sz w:val="22"/>
          <w:szCs w:val="22"/>
        </w:rPr>
      </w:pPr>
    </w:p>
    <w:p w14:paraId="6A73249C" w14:textId="77777777" w:rsidR="00E02D97" w:rsidRPr="00E02D97" w:rsidRDefault="00E02D97" w:rsidP="00E02D97">
      <w:pPr>
        <w:spacing w:line="276" w:lineRule="auto"/>
        <w:rPr>
          <w:rFonts w:ascii="Verdana" w:hAnsi="Verdana"/>
          <w:sz w:val="22"/>
          <w:szCs w:val="22"/>
        </w:rPr>
      </w:pPr>
    </w:p>
    <w:p w14:paraId="5E5064C3" w14:textId="77777777" w:rsidR="00E02D97" w:rsidRPr="00E02D97" w:rsidRDefault="00E02D97" w:rsidP="00E02D97">
      <w:pPr>
        <w:spacing w:line="276" w:lineRule="auto"/>
        <w:rPr>
          <w:rFonts w:ascii="Verdana" w:hAnsi="Verdana"/>
          <w:sz w:val="22"/>
          <w:szCs w:val="22"/>
        </w:rPr>
      </w:pPr>
    </w:p>
    <w:p w14:paraId="4D3682DA" w14:textId="77777777" w:rsidR="00E02D97" w:rsidRPr="00E02D97" w:rsidRDefault="00E02D97" w:rsidP="00E02D97">
      <w:pPr>
        <w:spacing w:line="276" w:lineRule="auto"/>
        <w:rPr>
          <w:rFonts w:ascii="Verdana" w:hAnsi="Verdana"/>
          <w:sz w:val="22"/>
          <w:szCs w:val="22"/>
        </w:rPr>
      </w:pPr>
      <w:r w:rsidRPr="00E02D97">
        <w:rPr>
          <w:rFonts w:ascii="Verdana" w:hAnsi="Verdana"/>
          <w:sz w:val="22"/>
          <w:szCs w:val="22"/>
        </w:rPr>
        <w:t>Proyectó. Alejandro Franco Castaño. Asesor.</w:t>
      </w:r>
    </w:p>
    <w:p w14:paraId="68C3DBF9" w14:textId="77777777" w:rsidR="00CD1BB6" w:rsidRPr="00E02D97" w:rsidRDefault="00CD1BB6" w:rsidP="00E02D97">
      <w:pPr>
        <w:spacing w:line="276" w:lineRule="auto"/>
        <w:rPr>
          <w:rFonts w:ascii="Verdana" w:hAnsi="Verdana"/>
          <w:sz w:val="22"/>
          <w:szCs w:val="22"/>
        </w:rPr>
      </w:pPr>
    </w:p>
    <w:sectPr w:rsidR="00CD1BB6" w:rsidRPr="00E02D97" w:rsidSect="00E02D97">
      <w:headerReference w:type="default" r:id="rId5"/>
      <w:footerReference w:type="default" r:id="rId6"/>
      <w:pgSz w:w="12240" w:h="15840"/>
      <w:pgMar w:top="2127" w:right="1701" w:bottom="1512"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35E87A" w14:textId="77777777" w:rsidR="00000000" w:rsidRDefault="00000000">
    <w:pPr>
      <w:pStyle w:val="Piedepgina"/>
      <w:jc w:val="right"/>
    </w:pPr>
    <w:r>
      <w:rPr>
        <w:noProof/>
      </w:rPr>
      <mc:AlternateContent>
        <mc:Choice Requires="wps">
          <w:drawing>
            <wp:anchor distT="0" distB="0" distL="114300" distR="114300" simplePos="0" relativeHeight="251660288" behindDoc="0" locked="0" layoutInCell="1" allowOverlap="1" wp14:anchorId="4A9C402A" wp14:editId="67566A6A">
              <wp:simplePos x="0" y="0"/>
              <wp:positionH relativeFrom="margin">
                <wp:align>center</wp:align>
              </wp:positionH>
              <wp:positionV relativeFrom="paragraph">
                <wp:posOffset>-235585</wp:posOffset>
              </wp:positionV>
              <wp:extent cx="6029325" cy="955675"/>
              <wp:effectExtent l="0" t="0" r="0" b="0"/>
              <wp:wrapNone/>
              <wp:docPr id="2" name="_x0000_s0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029325" cy="955675"/>
                      </a:xfrm>
                      <a:prstGeom prst="rect">
                        <a:avLst/>
                      </a:prstGeom>
                      <a:noFill/>
                      <a:ln>
                        <a:noFill/>
                      </a:ln>
                    </wps:spPr>
                    <wps:txbx>
                      <w:txbxContent>
                        <w:p w14:paraId="3F46C242"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18972862"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79F4F93C"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460A777F"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1A9710FD" w14:textId="77777777" w:rsidR="00000000" w:rsidRDefault="00000000">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30738930"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5B62B0A8" w14:textId="77777777" w:rsidR="00000000" w:rsidRDefault="00000000">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4A9C402A" id="_x0000_s0002" o:spid="_x0000_s1026" style="position:absolute;left:0;text-align:left;margin-left:0;margin-top:-18.55pt;width:474.75pt;height:75.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hyMsgEAAFcDAAAOAAAAZHJzL2Uyb0RvYy54bWysU9uO0zAQfUfiHyy/06Sh6dKo6WrFahHS&#13;&#10;ClZa+ADXsRuL2GM8bpP+PWO32y3whnixPBefOXNmvL6d7MAOKqAB1/L5rORMOQmdcbuWf//28O4D&#13;&#10;ZxiF68QATrX8qJDfbt6+WY++URX0MHQqMAJx2Iy+5X2MvikKlL2yAmfglaOghmBFJDPsii6IkdDt&#13;&#10;UFRluSxGCJ0PIBUiee9PQb7J+ForGb9qjSqyoeXELeYz5HObzmKzFs0uCN8beaYh/oGFFcZR0QvU&#13;&#10;vYiC7YP5C8oaGQBBx5kEW4DWRqrcA3UzL//o5rkXXuVeSBz0F5nw/8HKL4dn/xQSdfSPIH8gc/Cx&#13;&#10;F26n7tCTfDTUJFIxemwuycnA87NJB5ueUy9sysIeL8KqKTJJzmVZrd5XNWeSYqu6Xt7UGVQ0L699&#13;&#10;wPhJgWXp0vJAlbOe4vCIMdUXzUtKKubgwQxDHt7gfnNQYvJkvieKiWycthNlp+sWuuNTYCPNvOX4&#13;&#10;cy+C4mz47EjU1XyxSEuSjUV9U5ERriPb64hwsgdapRNRB3f7CNpksq91zkxoermH86al9bi2c9br&#13;&#10;f9j8AgAA//8DAFBLAwQUAAYACAAAACEAWFCP3OUAAAANAQAADwAAAGRycy9kb3ducmV2LnhtbEyP&#13;&#10;T0vDQBDF74LfYRnBi7Sb2PqnaTZFKmIRoZhqz9vsmASzs2l2m8Rv73jSy8Dw3rx5v3Q12kb02Pna&#13;&#10;kYJ4GoFAKpypqVTwvnua3IPwQZPRjSNU8I0eVtn5WaoT4wZ6wz4PpeAQ8olWUIXQJlL6okKr/dS1&#13;&#10;SKx9us7qwGtXStPpgcNtI6+j6FZaXRN/qHSL6wqLr/xkFQzFtt/vXp/l9mq/cXTcHNf5x4tSlxfj&#13;&#10;45LHwxJEwDH8XcAvA/eHjIsd3ImMF40CpgkKJrO7GATLi/niBsSBffFsDjJL5X+K7AcAAP//AwBQ&#13;&#10;SwECLQAUAAYACAAAACEAtoM4kv4AAADhAQAAEwAAAAAAAAAAAAAAAAAAAAAAW0NvbnRlbnRfVHlw&#13;&#10;ZXNdLnhtbFBLAQItABQABgAIAAAAIQA4/SH/1gAAAJQBAAALAAAAAAAAAAAAAAAAAC8BAABfcmVs&#13;&#10;cy8ucmVsc1BLAQItABQABgAIAAAAIQASQhyMsgEAAFcDAAAOAAAAAAAAAAAAAAAAAC4CAABkcnMv&#13;&#10;ZTJvRG9jLnhtbFBLAQItABQABgAIAAAAIQBYUI/c5QAAAA0BAAAPAAAAAAAAAAAAAAAAAAwEAABk&#13;&#10;cnMvZG93bnJldi54bWxQSwUGAAAAAAQABADzAAAAHgUAAAAA&#13;&#10;" filled="f" stroked="f">
              <o:lock v:ext="edit" aspectratio="t"/>
              <v:textbox>
                <w:txbxContent>
                  <w:p w14:paraId="3F46C242"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18972862"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79F4F93C"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460A777F"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1A9710FD" w14:textId="77777777" w:rsidR="00000000" w:rsidRDefault="00000000">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30738930"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5B62B0A8" w14:textId="77777777" w:rsidR="00000000" w:rsidRDefault="00000000">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2924667D" w14:textId="77777777" w:rsidR="00000000" w:rsidRDefault="00000000">
    <w:pPr>
      <w:spacing w:line="276" w:lineRule="auto"/>
      <w:jc w:val="both"/>
      <w:rPr>
        <w:rFonts w:ascii="Helvetica" w:hAnsi="Helvetica"/>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4F1C4" w14:textId="77777777" w:rsidR="00000000" w:rsidRDefault="00000000">
    <w:pPr>
      <w:pStyle w:val="Encabezado"/>
    </w:pPr>
    <w:r>
      <w:rPr>
        <w:noProof/>
        <w:lang w:eastAsia="es-CO"/>
      </w:rPr>
      <w:drawing>
        <wp:anchor distT="0" distB="0" distL="114300" distR="114300" simplePos="0" relativeHeight="251659264" behindDoc="1" locked="0" layoutInCell="1" allowOverlap="1" wp14:anchorId="6BE8E76C" wp14:editId="6102FC77">
          <wp:simplePos x="0" y="0"/>
          <wp:positionH relativeFrom="margin">
            <wp:align>left</wp:align>
          </wp:positionH>
          <wp:positionV relativeFrom="paragraph">
            <wp:posOffset>-67310</wp:posOffset>
          </wp:positionV>
          <wp:extent cx="1234440" cy="1057910"/>
          <wp:effectExtent l="0" t="0" r="0" b="0"/>
          <wp:wrapNone/>
          <wp:docPr id="1" name="_x0000_s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608B8F7E" w14:textId="77777777" w:rsidR="00000000" w:rsidRDefault="00000000">
    <w:pPr>
      <w:pStyle w:val="Encabezado"/>
    </w:pPr>
  </w:p>
  <w:p w14:paraId="650CC3D1" w14:textId="77777777" w:rsidR="00000000" w:rsidRDefault="00000000">
    <w:pPr>
      <w:pStyle w:val="Encabezado"/>
    </w:pPr>
  </w:p>
  <w:p w14:paraId="35C10A1C" w14:textId="77777777" w:rsidR="00000000" w:rsidRDefault="00000000">
    <w:pPr>
      <w:pStyle w:val="Encabezado"/>
    </w:pPr>
  </w:p>
  <w:p w14:paraId="49AD9E33" w14:textId="77777777" w:rsidR="00000000" w:rsidRDefault="00000000">
    <w:pPr>
      <w:pStyle w:val="Encabezado"/>
    </w:pPr>
  </w:p>
  <w:p w14:paraId="249AF60D" w14:textId="77777777" w:rsidR="00000000" w:rsidRDefault="00000000">
    <w:pPr>
      <w:pStyle w:val="Encabezado"/>
    </w:pPr>
  </w:p>
  <w:p w14:paraId="67DE1D4C" w14:textId="77777777" w:rsidR="00000000" w:rsidRDefault="00000000">
    <w:pPr>
      <w:pStyle w:val="Encabezado"/>
    </w:pPr>
  </w:p>
  <w:p w14:paraId="4F16DEE0" w14:textId="77777777" w:rsidR="00000000" w:rsidRDefault="00000000">
    <w:pPr>
      <w:pStyle w:val="Encabezado"/>
    </w:pP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CB0317" w14:paraId="54163CD7" w14:textId="77777777">
      <w:trPr>
        <w:trHeight w:val="1408"/>
      </w:trPr>
      <w:tc>
        <w:tcPr>
          <w:tcW w:w="4537" w:type="dxa"/>
        </w:tcPr>
        <w:p w14:paraId="3B71114A" w14:textId="77777777" w:rsidR="00000000" w:rsidRDefault="00000000">
          <w:pPr>
            <w:pStyle w:val="Encabezado"/>
            <w:tabs>
              <w:tab w:val="clear" w:pos="4419"/>
              <w:tab w:val="left" w:pos="7500"/>
            </w:tabs>
            <w:jc w:val="center"/>
            <w:rPr>
              <w:rFonts w:ascii="Helvetica Light" w:hAnsi="Helvetica Light"/>
              <w:sz w:val="18"/>
              <w:lang w:val="pt-BR" w:eastAsia="es-CO"/>
            </w:rPr>
          </w:pPr>
          <w:r>
            <w:rPr>
              <w:rFonts w:ascii="Helvetica Light" w:hAnsi="Helvetica Light"/>
              <w:sz w:val="18"/>
              <w:highlight w:val="white"/>
              <w:lang w:val="pt-BR"/>
            </w:rPr>
            <w:t>R3DkODE-39</w:t>
          </w:r>
        </w:p>
        <w:p w14:paraId="7BB11C85" w14:textId="77777777" w:rsidR="00000000" w:rsidRDefault="00000000">
          <w:pPr>
            <w:pStyle w:val="Encabezado"/>
            <w:tabs>
              <w:tab w:val="clear" w:pos="4419"/>
              <w:tab w:val="left" w:pos="7500"/>
            </w:tabs>
            <w:jc w:val="center"/>
            <w:rPr>
              <w:rFonts w:ascii="Helvetica Light" w:hAnsi="Helvetica Light"/>
              <w:sz w:val="18"/>
              <w:lang w:val="pt-BR"/>
            </w:rPr>
          </w:pPr>
        </w:p>
        <w:p w14:paraId="54A015F2"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R4D1C4D0_1</w:t>
          </w:r>
        </w:p>
        <w:p w14:paraId="1C76D9E1"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R4D1C4D0_2</w:t>
          </w:r>
        </w:p>
        <w:p w14:paraId="169154F9"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R4D1C4D0_3</w:t>
          </w:r>
        </w:p>
        <w:p w14:paraId="60758BD4"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R4D1C4D0_4</w:t>
          </w:r>
        </w:p>
        <w:p w14:paraId="188226C6" w14:textId="77777777" w:rsidR="00000000" w:rsidRDefault="00000000">
          <w:pPr>
            <w:pStyle w:val="Encabezado"/>
          </w:pPr>
          <w:r>
            <w:rPr>
              <w:rFonts w:ascii="Helvetica Light" w:hAnsi="Helvetica Light"/>
              <w:sz w:val="14"/>
            </w:rPr>
            <w:t>R4D1C4D0_5</w:t>
          </w:r>
        </w:p>
      </w:tc>
    </w:tr>
  </w:tbl>
  <w:p w14:paraId="7428E5CF" w14:textId="77777777" w:rsidR="00000000" w:rsidRDefault="00000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6FA5117"/>
    <w:multiLevelType w:val="multilevel"/>
    <w:tmpl w:val="3AF8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2B308B"/>
    <w:multiLevelType w:val="multilevel"/>
    <w:tmpl w:val="0E4E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6305205">
    <w:abstractNumId w:val="1"/>
  </w:num>
  <w:num w:numId="2" w16cid:durableId="73651889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97"/>
    <w:rsid w:val="000F3776"/>
    <w:rsid w:val="001E65B6"/>
    <w:rsid w:val="006273D1"/>
    <w:rsid w:val="007947F6"/>
    <w:rsid w:val="00CD1BB6"/>
    <w:rsid w:val="00D34AC6"/>
    <w:rsid w:val="00E02D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38131266"/>
  <w15:chartTrackingRefBased/>
  <w15:docId w15:val="{6ED44222-4C37-EE4E-A65A-B5FC6BF51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02D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02D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02D9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02D9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02D9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02D9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02D9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02D9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02D9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02D9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02D9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02D9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02D9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02D9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02D9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02D9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02D9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02D97"/>
    <w:rPr>
      <w:rFonts w:eastAsiaTheme="majorEastAsia" w:cstheme="majorBidi"/>
      <w:color w:val="272727" w:themeColor="text1" w:themeTint="D8"/>
    </w:rPr>
  </w:style>
  <w:style w:type="paragraph" w:styleId="Ttulo">
    <w:name w:val="Title"/>
    <w:basedOn w:val="Normal"/>
    <w:next w:val="Normal"/>
    <w:link w:val="TtuloCar"/>
    <w:uiPriority w:val="10"/>
    <w:qFormat/>
    <w:rsid w:val="00E02D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02D9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2D9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02D9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02D97"/>
    <w:pPr>
      <w:spacing w:before="160"/>
      <w:jc w:val="center"/>
    </w:pPr>
    <w:rPr>
      <w:i/>
      <w:iCs/>
      <w:color w:val="404040" w:themeColor="text1" w:themeTint="BF"/>
    </w:rPr>
  </w:style>
  <w:style w:type="character" w:customStyle="1" w:styleId="CitaCar">
    <w:name w:val="Cita Car"/>
    <w:basedOn w:val="Fuentedeprrafopredeter"/>
    <w:link w:val="Cita"/>
    <w:uiPriority w:val="29"/>
    <w:rsid w:val="00E02D97"/>
    <w:rPr>
      <w:i/>
      <w:iCs/>
      <w:color w:val="404040" w:themeColor="text1" w:themeTint="BF"/>
    </w:rPr>
  </w:style>
  <w:style w:type="paragraph" w:styleId="Prrafodelista">
    <w:name w:val="List Paragraph"/>
    <w:basedOn w:val="Normal"/>
    <w:uiPriority w:val="34"/>
    <w:qFormat/>
    <w:rsid w:val="00E02D97"/>
    <w:pPr>
      <w:ind w:left="720"/>
      <w:contextualSpacing/>
    </w:pPr>
  </w:style>
  <w:style w:type="character" w:styleId="nfasisintenso">
    <w:name w:val="Intense Emphasis"/>
    <w:basedOn w:val="Fuentedeprrafopredeter"/>
    <w:uiPriority w:val="21"/>
    <w:qFormat/>
    <w:rsid w:val="00E02D97"/>
    <w:rPr>
      <w:i/>
      <w:iCs/>
      <w:color w:val="0F4761" w:themeColor="accent1" w:themeShade="BF"/>
    </w:rPr>
  </w:style>
  <w:style w:type="paragraph" w:styleId="Citadestacada">
    <w:name w:val="Intense Quote"/>
    <w:basedOn w:val="Normal"/>
    <w:next w:val="Normal"/>
    <w:link w:val="CitadestacadaCar"/>
    <w:uiPriority w:val="30"/>
    <w:qFormat/>
    <w:rsid w:val="00E02D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02D97"/>
    <w:rPr>
      <w:i/>
      <w:iCs/>
      <w:color w:val="0F4761" w:themeColor="accent1" w:themeShade="BF"/>
    </w:rPr>
  </w:style>
  <w:style w:type="character" w:styleId="Referenciaintensa">
    <w:name w:val="Intense Reference"/>
    <w:basedOn w:val="Fuentedeprrafopredeter"/>
    <w:uiPriority w:val="32"/>
    <w:qFormat/>
    <w:rsid w:val="00E02D97"/>
    <w:rPr>
      <w:b/>
      <w:bCs/>
      <w:smallCaps/>
      <w:color w:val="0F4761" w:themeColor="accent1" w:themeShade="BF"/>
      <w:spacing w:val="5"/>
    </w:rPr>
  </w:style>
  <w:style w:type="paragraph" w:styleId="Encabezado">
    <w:name w:val="header"/>
    <w:basedOn w:val="Normal"/>
    <w:link w:val="EncabezadoCar"/>
    <w:uiPriority w:val="99"/>
    <w:semiHidden/>
    <w:unhideWhenUsed/>
    <w:rsid w:val="00E02D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E02D97"/>
  </w:style>
  <w:style w:type="paragraph" w:styleId="Piedepgina">
    <w:name w:val="footer"/>
    <w:basedOn w:val="Normal"/>
    <w:link w:val="PiedepginaCar"/>
    <w:uiPriority w:val="99"/>
    <w:semiHidden/>
    <w:unhideWhenUsed/>
    <w:rsid w:val="00E02D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E02D97"/>
  </w:style>
  <w:style w:type="paragraph" w:styleId="Sinespaciado">
    <w:name w:val="No Spacing"/>
    <w:uiPriority w:val="1"/>
    <w:qFormat/>
    <w:rsid w:val="00E02D97"/>
    <w:pPr>
      <w:spacing w:after="0" w:line="240" w:lineRule="auto"/>
    </w:pPr>
  </w:style>
  <w:style w:type="character" w:styleId="Hipervnculo">
    <w:name w:val="Hyperlink"/>
    <w:basedOn w:val="Fuentedeprrafopredeter"/>
    <w:uiPriority w:val="99"/>
    <w:unhideWhenUsed/>
    <w:rsid w:val="00E02D97"/>
    <w:rPr>
      <w:color w:val="467886" w:themeColor="hyperlink"/>
      <w:u w:val="single"/>
    </w:rPr>
  </w:style>
  <w:style w:type="character" w:styleId="Mencinsinresolver">
    <w:name w:val="Unresolved Mention"/>
    <w:basedOn w:val="Fuentedeprrafopredeter"/>
    <w:uiPriority w:val="99"/>
    <w:semiHidden/>
    <w:unhideWhenUsed/>
    <w:rsid w:val="00E02D97"/>
    <w:rPr>
      <w:color w:val="605E5C"/>
      <w:shd w:val="clear" w:color="auto" w:fill="E1DFDD"/>
    </w:rPr>
  </w:style>
  <w:style w:type="paragraph" w:customStyle="1" w:styleId="isselectedend">
    <w:name w:val="isselectedend"/>
    <w:basedOn w:val="Normal"/>
    <w:rsid w:val="00E02D97"/>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styleId="Fuerte">
    <w:name w:val="Strong"/>
    <w:basedOn w:val="Fuentedeprrafopredeter"/>
    <w:uiPriority w:val="22"/>
    <w:qFormat/>
    <w:rsid w:val="00E02D97"/>
    <w:rPr>
      <w:b/>
      <w:bCs/>
    </w:rPr>
  </w:style>
  <w:style w:type="paragraph" w:styleId="NormalWeb">
    <w:name w:val="Normal (Web)"/>
    <w:basedOn w:val="Normal"/>
    <w:uiPriority w:val="99"/>
    <w:unhideWhenUsed/>
    <w:rsid w:val="00E02D97"/>
    <w:pPr>
      <w:spacing w:before="100" w:beforeAutospacing="1" w:after="100" w:afterAutospacing="1" w:line="240" w:lineRule="auto"/>
    </w:pPr>
    <w:rPr>
      <w:rFonts w:ascii="Times New Roman" w:eastAsia="Times New Roman" w:hAnsi="Times New Roman" w:cs="Times New Roman"/>
      <w:kern w:val="0"/>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1169</Words>
  <Characters>7379</Characters>
  <Application>Microsoft Office Word</Application>
  <DocSecurity>0</DocSecurity>
  <Lines>141</Lines>
  <Paragraphs>36</Paragraphs>
  <ScaleCrop>false</ScaleCrop>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franco castaño</dc:creator>
  <cp:keywords/>
  <dc:description/>
  <cp:lastModifiedBy>alejandro franco castaño</cp:lastModifiedBy>
  <cp:revision>1</cp:revision>
  <dcterms:created xsi:type="dcterms:W3CDTF">2026-06-26T21:59:00Z</dcterms:created>
  <dcterms:modified xsi:type="dcterms:W3CDTF">2026-06-26T22:09:00Z</dcterms:modified>
</cp:coreProperties>
</file>